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Current report No. </w:t>
      </w:r>
      <w:r w:rsidR="00D664B8">
        <w:rPr>
          <w:rFonts w:ascii="Arial" w:hAnsi="Arial" w:cs="Arial"/>
          <w:b/>
          <w:lang w:val="en-US"/>
        </w:rPr>
        <w:t>2</w:t>
      </w:r>
      <w:r w:rsidR="006903AA">
        <w:rPr>
          <w:rFonts w:ascii="Arial" w:hAnsi="Arial" w:cs="Arial"/>
          <w:b/>
          <w:lang w:val="en-US"/>
        </w:rPr>
        <w:t>3</w:t>
      </w:r>
      <w:r w:rsidRPr="00EC5AFB">
        <w:rPr>
          <w:rFonts w:ascii="Arial" w:hAnsi="Arial" w:cs="Arial"/>
          <w:b/>
          <w:lang w:val="en-US"/>
        </w:rPr>
        <w:t>/2011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dated </w:t>
      </w:r>
      <w:r w:rsidR="00D664B8">
        <w:rPr>
          <w:rFonts w:ascii="Arial" w:hAnsi="Arial" w:cs="Arial"/>
          <w:b/>
          <w:lang w:val="en-US"/>
        </w:rPr>
        <w:t>14 November</w:t>
      </w:r>
      <w:r w:rsidRPr="00EC5AFB">
        <w:rPr>
          <w:rFonts w:ascii="Arial" w:hAnsi="Arial" w:cs="Arial"/>
          <w:b/>
          <w:lang w:val="en-US"/>
        </w:rPr>
        <w:t>, 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EC5AFB" w:rsidRDefault="006903AA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KSG Agro S.A. Interim Consolidated Financial St</w:t>
      </w:r>
      <w:r w:rsidR="00D664B8">
        <w:rPr>
          <w:rFonts w:ascii="Arial" w:hAnsi="Arial" w:cs="Arial"/>
          <w:b/>
          <w:lang w:val="en-US"/>
        </w:rPr>
        <w:t>atements for the period ended 30 September</w:t>
      </w:r>
      <w:r>
        <w:rPr>
          <w:rFonts w:ascii="Arial" w:hAnsi="Arial" w:cs="Arial"/>
          <w:b/>
          <w:lang w:val="en-US"/>
        </w:rPr>
        <w:t xml:space="preserve"> 2011</w:t>
      </w:r>
    </w:p>
    <w:p w:rsidR="00E77201" w:rsidRPr="00EC5AFB" w:rsidRDefault="00E77201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903AA" w:rsidRDefault="00E77201" w:rsidP="00690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The Board of Directors of </w:t>
      </w:r>
      <w:r w:rsidR="002D11E5" w:rsidRPr="00EC5AFB">
        <w:rPr>
          <w:rFonts w:ascii="Arial" w:hAnsi="Arial" w:cs="Arial"/>
          <w:color w:val="000000"/>
          <w:sz w:val="20"/>
          <w:szCs w:val="20"/>
          <w:lang w:val="en-US"/>
        </w:rPr>
        <w:t>KSG Agro</w:t>
      </w: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45AF" w:rsidRPr="00EC5AFB">
        <w:rPr>
          <w:rFonts w:ascii="Arial" w:hAnsi="Arial" w:cs="Arial"/>
          <w:color w:val="000000"/>
          <w:sz w:val="20"/>
          <w:szCs w:val="20"/>
          <w:lang w:val="en-US"/>
        </w:rPr>
        <w:t>S.A</w:t>
      </w:r>
      <w:r w:rsidR="006A5BD8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6903AA">
        <w:rPr>
          <w:rFonts w:ascii="Arial" w:hAnsi="Arial" w:cs="Arial"/>
          <w:color w:val="000000"/>
          <w:sz w:val="20"/>
          <w:szCs w:val="20"/>
          <w:lang w:val="en-US"/>
        </w:rPr>
        <w:t xml:space="preserve">is pleased to publish the </w:t>
      </w:r>
      <w:r w:rsidR="006903AA" w:rsidRPr="006903AA">
        <w:rPr>
          <w:rFonts w:ascii="Arial" w:hAnsi="Arial" w:cs="Arial"/>
          <w:sz w:val="20"/>
          <w:szCs w:val="20"/>
          <w:lang w:val="en-US"/>
        </w:rPr>
        <w:t>Consolidated Financial Statements for the period ended 3</w:t>
      </w:r>
      <w:r w:rsidR="00D664B8">
        <w:rPr>
          <w:rFonts w:ascii="Arial" w:hAnsi="Arial" w:cs="Arial"/>
          <w:sz w:val="20"/>
          <w:szCs w:val="20"/>
          <w:lang w:val="en-US"/>
        </w:rPr>
        <w:t>0 September</w:t>
      </w:r>
      <w:r w:rsidR="006903AA" w:rsidRPr="006903AA">
        <w:rPr>
          <w:rFonts w:ascii="Arial" w:hAnsi="Arial" w:cs="Arial"/>
          <w:sz w:val="20"/>
          <w:szCs w:val="20"/>
          <w:lang w:val="en-US"/>
        </w:rPr>
        <w:t xml:space="preserve"> 2011</w:t>
      </w:r>
      <w:r w:rsidR="006903AA">
        <w:rPr>
          <w:rFonts w:ascii="Arial" w:hAnsi="Arial" w:cs="Arial"/>
          <w:sz w:val="20"/>
          <w:szCs w:val="20"/>
          <w:lang w:val="en-US"/>
        </w:rPr>
        <w:t xml:space="preserve">. </w:t>
      </w:r>
      <w:r w:rsidR="006903AA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6903AA" w:rsidRPr="006903AA">
        <w:rPr>
          <w:rFonts w:ascii="Arial" w:hAnsi="Arial" w:cs="Arial"/>
          <w:sz w:val="20"/>
          <w:szCs w:val="20"/>
          <w:lang w:val="en-US"/>
        </w:rPr>
        <w:t>Consolidated Financial Statements</w:t>
      </w:r>
      <w:r w:rsidR="006903AA">
        <w:rPr>
          <w:rFonts w:ascii="Arial" w:hAnsi="Arial" w:cs="Arial"/>
          <w:sz w:val="20"/>
          <w:szCs w:val="20"/>
          <w:lang w:val="en-US"/>
        </w:rPr>
        <w:t xml:space="preserve"> are available on the Company’s website under:</w:t>
      </w:r>
    </w:p>
    <w:p w:rsidR="006903AA" w:rsidRPr="006903AA" w:rsidRDefault="006903AA" w:rsidP="00690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Investors/Financial reports:</w:t>
      </w:r>
      <w:r w:rsidR="00947A4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http://www.ksgagro.com/investment/financial-reports/</w:t>
      </w:r>
    </w:p>
    <w:p w:rsidR="009A5D3F" w:rsidRPr="00904E85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04E85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rticle </w:t>
      </w:r>
      <w:r w:rsidR="006903AA">
        <w:rPr>
          <w:rFonts w:ascii="Arial" w:hAnsi="Arial" w:cs="Arial"/>
          <w:color w:val="000000"/>
          <w:sz w:val="18"/>
          <w:szCs w:val="18"/>
          <w:lang w:val="en-US"/>
        </w:rPr>
        <w:t>5 (2)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of the Luxembourg law of 11 January 2008 relating to the transparency requirements in relation to information about issuers whose securities are admitted to trading on a regulated market</w:t>
      </w:r>
      <w:r w:rsidR="006903AA">
        <w:rPr>
          <w:rFonts w:ascii="Arial" w:hAnsi="Arial" w:cs="Arial"/>
          <w:color w:val="000000"/>
          <w:sz w:val="18"/>
          <w:szCs w:val="18"/>
          <w:lang w:val="en-US"/>
        </w:rPr>
        <w:t xml:space="preserve"> and Article 56 of the Act of 29 July 2005 on public offering</w:t>
      </w:r>
      <w:r w:rsidR="00947A4B">
        <w:rPr>
          <w:rFonts w:ascii="Arial" w:hAnsi="Arial" w:cs="Arial"/>
          <w:color w:val="000000"/>
          <w:sz w:val="18"/>
          <w:szCs w:val="18"/>
          <w:lang w:val="en-US"/>
        </w:rPr>
        <w:t>, conditions governing the introduction of financial instruments to organized trading systems and on public companies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Alexandr Perov 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CF" w:rsidRDefault="00EF21CF">
      <w:r>
        <w:separator/>
      </w:r>
    </w:p>
  </w:endnote>
  <w:endnote w:type="continuationSeparator" w:id="1">
    <w:p w:rsidR="00EF21CF" w:rsidRDefault="00EF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3956B4">
    <w:pPr>
      <w:pStyle w:val="a4"/>
    </w:pPr>
    <w:r w:rsidRPr="003956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3956B4">
    <w:pPr>
      <w:pStyle w:val="a4"/>
    </w:pPr>
    <w:r w:rsidRPr="003956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3956B4">
    <w:pPr>
      <w:pStyle w:val="a4"/>
    </w:pPr>
    <w:r w:rsidRPr="003956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CF" w:rsidRDefault="00EF21CF">
      <w:r>
        <w:separator/>
      </w:r>
    </w:p>
  </w:footnote>
  <w:footnote w:type="continuationSeparator" w:id="1">
    <w:p w:rsidR="00EF21CF" w:rsidRDefault="00EF2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32F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6B4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69"/>
    <w:rsid w:val="00503BB0"/>
    <w:rsid w:val="00503C21"/>
    <w:rsid w:val="00504A0C"/>
    <w:rsid w:val="00504AC4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3AA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FEE"/>
    <w:rsid w:val="006A334A"/>
    <w:rsid w:val="006A3426"/>
    <w:rsid w:val="006A3B54"/>
    <w:rsid w:val="006A4058"/>
    <w:rsid w:val="006A4747"/>
    <w:rsid w:val="006A50C1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6DF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970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4B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377CD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D8C"/>
    <w:rsid w:val="00BE6F02"/>
    <w:rsid w:val="00BE6FF8"/>
    <w:rsid w:val="00BE7000"/>
    <w:rsid w:val="00BE7067"/>
    <w:rsid w:val="00BE796F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BDB"/>
    <w:rsid w:val="00D26D91"/>
    <w:rsid w:val="00D26E92"/>
    <w:rsid w:val="00D27191"/>
    <w:rsid w:val="00D27ACF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4B8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1CF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Perov</cp:lastModifiedBy>
  <cp:revision>2</cp:revision>
  <cp:lastPrinted>1601-01-01T00:00:00Z</cp:lastPrinted>
  <dcterms:created xsi:type="dcterms:W3CDTF">2011-11-14T08:33:00Z</dcterms:created>
  <dcterms:modified xsi:type="dcterms:W3CDTF">2011-11-14T08:33:00Z</dcterms:modified>
</cp:coreProperties>
</file>