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3E407D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Current report No. </w:t>
      </w:r>
      <w:r w:rsidR="007A651F">
        <w:rPr>
          <w:rFonts w:ascii="Arial" w:hAnsi="Arial" w:cs="Arial"/>
          <w:b/>
          <w:lang w:val="en-US"/>
        </w:rPr>
        <w:t>6</w:t>
      </w:r>
      <w:r w:rsidRPr="00EC5AFB">
        <w:rPr>
          <w:rFonts w:ascii="Arial" w:hAnsi="Arial" w:cs="Arial"/>
          <w:b/>
          <w:lang w:val="en-US"/>
        </w:rPr>
        <w:t>/2011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dated </w:t>
      </w:r>
      <w:r w:rsidR="000545DA">
        <w:rPr>
          <w:rFonts w:ascii="Arial" w:hAnsi="Arial" w:cs="Arial"/>
          <w:b/>
          <w:lang w:val="en-US"/>
        </w:rPr>
        <w:t>02 June</w:t>
      </w:r>
      <w:r w:rsidRPr="00EC5AFB">
        <w:rPr>
          <w:rFonts w:ascii="Arial" w:hAnsi="Arial" w:cs="Arial"/>
          <w:b/>
          <w:lang w:val="en-US"/>
        </w:rPr>
        <w:t>, 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EC5AFB" w:rsidRDefault="003B782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ACQUISITION OF </w:t>
      </w:r>
      <w:r w:rsidR="00924907">
        <w:rPr>
          <w:rFonts w:ascii="Arial" w:hAnsi="Arial" w:cs="Arial"/>
          <w:b/>
          <w:lang w:val="en-US"/>
        </w:rPr>
        <w:t xml:space="preserve"> </w:t>
      </w:r>
      <w:r w:rsidR="00642B8C">
        <w:rPr>
          <w:rFonts w:ascii="Arial" w:hAnsi="Arial" w:cs="Arial"/>
          <w:b/>
          <w:lang w:val="en-US"/>
        </w:rPr>
        <w:t>LLC “</w:t>
      </w:r>
      <w:r w:rsidR="007A651F">
        <w:rPr>
          <w:rFonts w:ascii="Arial" w:hAnsi="Arial" w:cs="Arial"/>
          <w:b/>
          <w:lang w:val="en-US"/>
        </w:rPr>
        <w:t>Dniproagrostandart</w:t>
      </w:r>
      <w:r w:rsidR="00642B8C">
        <w:rPr>
          <w:rFonts w:ascii="Arial" w:hAnsi="Arial" w:cs="Arial"/>
          <w:b/>
          <w:lang w:val="en-US"/>
        </w:rPr>
        <w:t>”</w:t>
      </w:r>
    </w:p>
    <w:p w:rsidR="00E77201" w:rsidRPr="00EC5AFB" w:rsidRDefault="00E77201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901CB" w:rsidRDefault="00E77201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The Board of Directors of </w:t>
      </w:r>
      <w:r w:rsidR="002D11E5" w:rsidRPr="00EC5AFB">
        <w:rPr>
          <w:rFonts w:ascii="Arial" w:hAnsi="Arial" w:cs="Arial"/>
          <w:color w:val="000000"/>
          <w:sz w:val="20"/>
          <w:szCs w:val="20"/>
          <w:lang w:val="en-US"/>
        </w:rPr>
        <w:t>KSG Agro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45AF" w:rsidRPr="00EC5AFB">
        <w:rPr>
          <w:rFonts w:ascii="Arial" w:hAnsi="Arial" w:cs="Arial"/>
          <w:color w:val="000000"/>
          <w:sz w:val="20"/>
          <w:szCs w:val="20"/>
          <w:lang w:val="en-US"/>
        </w:rPr>
        <w:t>S.A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. (the "Company") informs that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on </w:t>
      </w:r>
      <w:r w:rsidR="00401426">
        <w:rPr>
          <w:rFonts w:ascii="Arial" w:hAnsi="Arial" w:cs="Arial"/>
          <w:sz w:val="20"/>
          <w:szCs w:val="20"/>
          <w:lang w:val="en-US"/>
        </w:rPr>
        <w:t>1</w:t>
      </w:r>
      <w:r w:rsidR="00401426" w:rsidRPr="0040142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401426">
        <w:rPr>
          <w:rFonts w:ascii="Arial" w:hAnsi="Arial" w:cs="Arial"/>
          <w:sz w:val="20"/>
          <w:szCs w:val="20"/>
          <w:lang w:val="en-US"/>
        </w:rPr>
        <w:t xml:space="preserve"> of June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2011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 The Antymonopoly Commitee of Ukraine has given a permission to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>KSG Agricultural and Industrial Holding Limited,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31AD6">
        <w:rPr>
          <w:rFonts w:ascii="Arial" w:hAnsi="Arial" w:cs="Arial"/>
          <w:color w:val="000000"/>
          <w:sz w:val="20"/>
          <w:szCs w:val="20"/>
          <w:lang w:val="en-US"/>
        </w:rPr>
        <w:t>Cyprus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subholding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of the Company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, and </w:t>
      </w:r>
      <w:r w:rsidR="000B6F89">
        <w:rPr>
          <w:rFonts w:ascii="Arial" w:hAnsi="Arial" w:cs="Arial"/>
          <w:color w:val="000000"/>
          <w:sz w:val="20"/>
          <w:szCs w:val="20"/>
          <w:lang w:val="en-US"/>
        </w:rPr>
        <w:t>PUAH #2 Limited, an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Ukrainian subsidiary of the Company, 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for an execution of the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>agree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ment concerning acquisition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of </w:t>
      </w:r>
      <w:r w:rsidR="00131AD6">
        <w:rPr>
          <w:rFonts w:ascii="Arial" w:hAnsi="Arial" w:cs="Arial"/>
          <w:color w:val="000000"/>
          <w:sz w:val="20"/>
          <w:szCs w:val="20"/>
          <w:lang w:val="en-US"/>
        </w:rPr>
        <w:t xml:space="preserve">100 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>% of shares i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 xml:space="preserve"> LLC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“Dniproagrostandart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>”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, with its seat in 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18  Gagarina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str., s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mt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 xml:space="preserve"> Pismenne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>, 52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630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Dnepropetrovsk region, Ukraine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401426" w:rsidRDefault="00000366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LLC “Dniproagrostandart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>”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>is an agricultural entity which has approximately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 xml:space="preserve"> 4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 xml:space="preserve"> 000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hectar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 of arable land under lease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All the lands are sawed with crops for this year harvest.</w:t>
      </w:r>
    </w:p>
    <w:p w:rsidR="007A651F" w:rsidRDefault="00500F3A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acquisition wil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l allow the 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Company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to enlarge its land bank in the Dnepropetrovsk region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, which is target region for KSG Agro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S.A.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and to reach its targets in the current year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C449F9">
        <w:rPr>
          <w:rFonts w:ascii="Arial" w:hAnsi="Arial" w:cs="Arial"/>
          <w:color w:val="000000"/>
          <w:sz w:val="20"/>
          <w:szCs w:val="20"/>
          <w:lang w:val="en-US"/>
        </w:rPr>
        <w:t>All the lands are sawed with crops for this year harvest.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00F3A" w:rsidRDefault="007A651F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After the acquisition of these assets total arable land under lease of the Company will be increased to 43 200 hectares.</w:t>
      </w:r>
    </w:p>
    <w:p w:rsidR="003E4391" w:rsidRPr="00904E85" w:rsidRDefault="003E4391" w:rsidP="00904E8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and Article 14 of the Luxembourg law of 11 January 2008 relating to the transparency requirements in relation to information about issuers whose securities are admitted to trading on a regulated market.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Alexandr Perov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93" w:rsidRDefault="00083B93">
      <w:r>
        <w:separator/>
      </w:r>
    </w:p>
  </w:endnote>
  <w:endnote w:type="continuationSeparator" w:id="1">
    <w:p w:rsidR="00083B93" w:rsidRDefault="0008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1912A3">
    <w:pPr>
      <w:pStyle w:val="a4"/>
    </w:pPr>
    <w:r w:rsidRPr="001912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1912A3">
    <w:pPr>
      <w:pStyle w:val="a4"/>
    </w:pPr>
    <w:r w:rsidRPr="001912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1912A3">
    <w:pPr>
      <w:pStyle w:val="a4"/>
    </w:pPr>
    <w:r w:rsidRPr="001912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93" w:rsidRDefault="00083B93">
      <w:r>
        <w:separator/>
      </w:r>
    </w:p>
  </w:footnote>
  <w:footnote w:type="continuationSeparator" w:id="1">
    <w:p w:rsidR="00083B93" w:rsidRDefault="0008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201"/>
    <w:rsid w:val="00000366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329"/>
    <w:rsid w:val="000811F7"/>
    <w:rsid w:val="00081F43"/>
    <w:rsid w:val="000820B0"/>
    <w:rsid w:val="0008233B"/>
    <w:rsid w:val="000823F9"/>
    <w:rsid w:val="00083610"/>
    <w:rsid w:val="00083B93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C56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2A3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07D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69"/>
    <w:rsid w:val="00503BB0"/>
    <w:rsid w:val="00503C21"/>
    <w:rsid w:val="00504A0C"/>
    <w:rsid w:val="00504AC4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FEE"/>
    <w:rsid w:val="006A334A"/>
    <w:rsid w:val="006A3426"/>
    <w:rsid w:val="006A3B54"/>
    <w:rsid w:val="006A4058"/>
    <w:rsid w:val="006A4747"/>
    <w:rsid w:val="006A50C1"/>
    <w:rsid w:val="006A5B8B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970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D8C"/>
    <w:rsid w:val="00BE6F02"/>
    <w:rsid w:val="00BE6FF8"/>
    <w:rsid w:val="00BE7000"/>
    <w:rsid w:val="00BE7067"/>
    <w:rsid w:val="00BE796F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BDB"/>
    <w:rsid w:val="00D26D91"/>
    <w:rsid w:val="00D26E92"/>
    <w:rsid w:val="00D27191"/>
    <w:rsid w:val="00D27ACF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Perov</cp:lastModifiedBy>
  <cp:revision>2</cp:revision>
  <cp:lastPrinted>1601-01-01T00:00:00Z</cp:lastPrinted>
  <dcterms:created xsi:type="dcterms:W3CDTF">2011-10-25T08:19:00Z</dcterms:created>
  <dcterms:modified xsi:type="dcterms:W3CDTF">2011-10-25T08:19:00Z</dcterms:modified>
</cp:coreProperties>
</file>